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76B" w:rsidRDefault="00B8576B" w:rsidP="00B8576B">
      <w:pPr>
        <w:jc w:val="right"/>
      </w:pPr>
    </w:p>
    <w:p w:rsidR="00B8576B" w:rsidRDefault="00B8576B" w:rsidP="00B8576B">
      <w:pPr>
        <w:pStyle w:val="ListParagraph"/>
        <w:numPr>
          <w:ilvl w:val="0"/>
          <w:numId w:val="2"/>
        </w:numPr>
      </w:pPr>
      <w:r w:rsidRPr="00956D07">
        <w:rPr>
          <w:noProof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13C84DFD" wp14:editId="0664A66D">
                <wp:simplePos x="0" y="0"/>
                <wp:positionH relativeFrom="page">
                  <wp:posOffset>939165</wp:posOffset>
                </wp:positionH>
                <wp:positionV relativeFrom="page">
                  <wp:posOffset>790575</wp:posOffset>
                </wp:positionV>
                <wp:extent cx="6534150" cy="659130"/>
                <wp:effectExtent l="400050" t="19050" r="38100" b="45720"/>
                <wp:wrapSquare wrapText="bothSides"/>
                <wp:docPr id="28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341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B8576B" w:rsidRPr="00913831" w:rsidRDefault="00B8576B" w:rsidP="00B8576B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Unit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6: Periodic Trends and Bonding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  <w:t xml:space="preserve">Problem Set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6-3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left:0;text-align:left;margin-left:73.95pt;margin-top:62.25pt;width:514.5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B8576B" w:rsidRPr="00913831" w:rsidRDefault="00B8576B" w:rsidP="00B8576B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Unit 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6: Periodic Trends and Bonding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  <w:t xml:space="preserve">Problem Set 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6-3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>
        <w:t>How are ionic bonds and covalent bonds different?</w:t>
      </w:r>
    </w:p>
    <w:p w:rsidR="00B8576B" w:rsidRDefault="00B8576B" w:rsidP="00B8576B"/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0"/>
          <w:numId w:val="2"/>
        </w:numPr>
      </w:pPr>
      <w:r>
        <w:t>How does a polar covalent bond differ from a non-polar covalent bond?</w:t>
      </w:r>
    </w:p>
    <w:p w:rsidR="00B8576B" w:rsidRDefault="00B8576B" w:rsidP="00B8576B"/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0"/>
          <w:numId w:val="2"/>
        </w:numPr>
      </w:pPr>
      <w:r>
        <w:t>How do electronegativity values help us determine the polarity of a bond?</w:t>
      </w:r>
    </w:p>
    <w:p w:rsidR="00B8576B" w:rsidRDefault="00B8576B" w:rsidP="00B8576B"/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0"/>
          <w:numId w:val="2"/>
        </w:numPr>
      </w:pPr>
      <w:r>
        <w:t>For each of the following molecules, label the part is partially positive (</w:t>
      </w:r>
      <w:r>
        <w:rPr>
          <w:rFonts w:cs="Tahoma"/>
        </w:rPr>
        <w:t>δ</w:t>
      </w:r>
      <w:r>
        <w:t>+) and partially negative (</w:t>
      </w:r>
      <w:r>
        <w:rPr>
          <w:rFonts w:cs="Tahoma"/>
        </w:rPr>
        <w:t xml:space="preserve">δ-).  </w:t>
      </w:r>
      <w:r>
        <w:t>If it is nonpolar, write “nonpolar”.</w:t>
      </w:r>
    </w:p>
    <w:p w:rsidR="00B8576B" w:rsidRDefault="00B8576B" w:rsidP="00B8576B">
      <w:pPr>
        <w:ind w:left="360"/>
      </w:pPr>
    </w:p>
    <w:p w:rsidR="00B8576B" w:rsidRDefault="00B8576B" w:rsidP="00B8576B">
      <w:pPr>
        <w:numPr>
          <w:ilvl w:val="1"/>
          <w:numId w:val="1"/>
        </w:numPr>
      </w:pPr>
      <w:r>
        <w:t>H—Cl</w:t>
      </w:r>
    </w:p>
    <w:p w:rsidR="00B8576B" w:rsidRDefault="00B8576B" w:rsidP="00B8576B">
      <w:pPr>
        <w:ind w:left="1080"/>
      </w:pPr>
    </w:p>
    <w:p w:rsidR="00B8576B" w:rsidRDefault="00B8576B" w:rsidP="00B8576B">
      <w:pPr>
        <w:numPr>
          <w:ilvl w:val="1"/>
          <w:numId w:val="1"/>
        </w:numPr>
      </w:pPr>
      <w:r>
        <w:t>H—H</w:t>
      </w:r>
    </w:p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t>H—I</w:t>
      </w:r>
    </w:p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t>Br—Br</w:t>
      </w:r>
    </w:p>
    <w:p w:rsidR="00B8576B" w:rsidRDefault="00B8576B" w:rsidP="00B8576B">
      <w:r>
        <w:t xml:space="preserve"> </w:t>
      </w:r>
    </w:p>
    <w:p w:rsidR="00B8576B" w:rsidRDefault="00B8576B" w:rsidP="00B8576B">
      <w:pPr>
        <w:numPr>
          <w:ilvl w:val="1"/>
          <w:numId w:val="1"/>
        </w:numPr>
      </w:pPr>
      <w:r>
        <w:t>C=O</w:t>
      </w:r>
    </w:p>
    <w:p w:rsidR="00B8576B" w:rsidRDefault="00B8576B" w:rsidP="00B8576B">
      <w:pPr>
        <w:ind w:left="1080"/>
      </w:pPr>
    </w:p>
    <w:p w:rsidR="00B8576B" w:rsidRDefault="00B8576B" w:rsidP="00B8576B">
      <w:pPr>
        <w:numPr>
          <w:ilvl w:val="0"/>
          <w:numId w:val="2"/>
        </w:numPr>
      </w:pPr>
      <w:r>
        <w:t xml:space="preserve">For each of the following compounds, draw an arrow showing its dipole moment.  If it does not have one, write “none.”  </w:t>
      </w:r>
    </w:p>
    <w:p w:rsidR="00B8576B" w:rsidRDefault="00B8576B" w:rsidP="00B8576B">
      <w:pPr>
        <w:ind w:left="720"/>
      </w:pPr>
    </w:p>
    <w:p w:rsidR="00B8576B" w:rsidRDefault="00B8576B" w:rsidP="00B8576B">
      <w:pPr>
        <w:numPr>
          <w:ilvl w:val="1"/>
          <w:numId w:val="1"/>
        </w:numPr>
        <w:sectPr w:rsidR="00B8576B" w:rsidSect="00EC622B">
          <w:pgSz w:w="12240" w:h="15840" w:code="1"/>
          <w:pgMar w:top="720" w:right="720" w:bottom="720" w:left="720" w:header="720" w:footer="720" w:gutter="0"/>
          <w:cols w:space="720" w:equalWidth="0">
            <w:col w:w="10800"/>
          </w:cols>
          <w:docGrid w:linePitch="65"/>
        </w:sectPr>
      </w:pPr>
    </w:p>
    <w:p w:rsidR="00B8576B" w:rsidRDefault="00B8576B" w:rsidP="00B8576B">
      <w:pPr>
        <w:numPr>
          <w:ilvl w:val="1"/>
          <w:numId w:val="1"/>
        </w:numPr>
      </w:pPr>
      <w:r>
        <w:lastRenderedPageBreak/>
        <w:t xml:space="preserve">H---Br </w:t>
      </w:r>
    </w:p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t>Li---Cl</w:t>
      </w:r>
    </w:p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t>O---N</w:t>
      </w:r>
    </w:p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lastRenderedPageBreak/>
        <w:t>F---F</w:t>
      </w:r>
    </w:p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t>I---Cs</w:t>
      </w:r>
    </w:p>
    <w:p w:rsidR="00B8576B" w:rsidRDefault="00B8576B" w:rsidP="00B8576B"/>
    <w:p w:rsidR="00B8576B" w:rsidRDefault="00B8576B" w:rsidP="00B8576B">
      <w:r>
        <w:br/>
      </w:r>
    </w:p>
    <w:p w:rsidR="00B8576B" w:rsidRDefault="00B8576B" w:rsidP="00B8576B">
      <w:pPr>
        <w:sectPr w:rsidR="00B8576B" w:rsidSect="00B8576B">
          <w:type w:val="continuous"/>
          <w:pgSz w:w="12240" w:h="15840" w:code="1"/>
          <w:pgMar w:top="720" w:right="720" w:bottom="720" w:left="720" w:header="720" w:footer="720" w:gutter="0"/>
          <w:cols w:num="2" w:space="720"/>
          <w:docGrid w:linePitch="65"/>
        </w:sectPr>
      </w:pPr>
    </w:p>
    <w:p w:rsidR="00B8576B" w:rsidRDefault="00B8576B" w:rsidP="00B8576B"/>
    <w:p w:rsidR="00B8576B" w:rsidRDefault="00B8576B" w:rsidP="00B8576B">
      <w:pPr>
        <w:numPr>
          <w:ilvl w:val="0"/>
          <w:numId w:val="2"/>
        </w:numPr>
      </w:pPr>
      <w:r>
        <w:t xml:space="preserve">For each of the following pairs of bonds, circle the bond that is more </w:t>
      </w:r>
      <w:proofErr w:type="gramStart"/>
      <w:r>
        <w:t>polar</w:t>
      </w:r>
      <w:proofErr w:type="gramEnd"/>
      <w:r>
        <w:t>.  Use Figure 12.4 on p. 403.</w:t>
      </w:r>
    </w:p>
    <w:p w:rsidR="00B8576B" w:rsidRDefault="00B8576B" w:rsidP="00B8576B">
      <w:pPr>
        <w:ind w:left="720"/>
      </w:pPr>
    </w:p>
    <w:p w:rsidR="00B8576B" w:rsidRDefault="00B8576B" w:rsidP="00B8576B">
      <w:pPr>
        <w:numPr>
          <w:ilvl w:val="1"/>
          <w:numId w:val="1"/>
        </w:numPr>
        <w:sectPr w:rsidR="00B8576B" w:rsidSect="00B8576B">
          <w:type w:val="continuous"/>
          <w:pgSz w:w="12240" w:h="15840" w:code="1"/>
          <w:pgMar w:top="720" w:right="720" w:bottom="720" w:left="720" w:header="720" w:footer="720" w:gutter="0"/>
          <w:cols w:space="720" w:equalWidth="0">
            <w:col w:w="10800"/>
          </w:cols>
          <w:docGrid w:linePitch="65"/>
        </w:sectPr>
      </w:pPr>
    </w:p>
    <w:p w:rsidR="00B8576B" w:rsidRDefault="00B8576B" w:rsidP="00B8576B">
      <w:pPr>
        <w:numPr>
          <w:ilvl w:val="1"/>
          <w:numId w:val="1"/>
        </w:numPr>
      </w:pPr>
      <w:r>
        <w:lastRenderedPageBreak/>
        <w:t>H---P, H---C</w:t>
      </w:r>
    </w:p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t>O---F, O---I</w:t>
      </w:r>
    </w:p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lastRenderedPageBreak/>
        <w:t>N---O, S---O</w:t>
      </w:r>
    </w:p>
    <w:p w:rsidR="00B8576B" w:rsidRDefault="00B8576B" w:rsidP="00B8576B"/>
    <w:p w:rsidR="00B8576B" w:rsidRDefault="00B8576B" w:rsidP="00B8576B"/>
    <w:p w:rsidR="00B8576B" w:rsidRDefault="00B8576B" w:rsidP="00B8576B">
      <w:pPr>
        <w:numPr>
          <w:ilvl w:val="1"/>
          <w:numId w:val="1"/>
        </w:numPr>
      </w:pPr>
      <w:r>
        <w:t>N---H, Si---H</w:t>
      </w:r>
    </w:p>
    <w:p w:rsidR="00B8576B" w:rsidRDefault="00B8576B" w:rsidP="00B8576B">
      <w:pPr>
        <w:ind w:left="1080"/>
      </w:pPr>
    </w:p>
    <w:p w:rsidR="00B8576B" w:rsidRDefault="00B8576B" w:rsidP="00B8576B">
      <w:pPr>
        <w:ind w:left="1080"/>
        <w:sectPr w:rsidR="00B8576B" w:rsidSect="00B8576B">
          <w:type w:val="continuous"/>
          <w:pgSz w:w="12240" w:h="15840" w:code="1"/>
          <w:pgMar w:top="720" w:right="720" w:bottom="720" w:left="720" w:header="720" w:footer="720" w:gutter="0"/>
          <w:cols w:num="2" w:space="720"/>
          <w:docGrid w:linePitch="65"/>
        </w:sectPr>
      </w:pPr>
    </w:p>
    <w:p w:rsidR="00B8576B" w:rsidRPr="00204FA3" w:rsidRDefault="00B8576B" w:rsidP="00B8576B">
      <w:pPr>
        <w:ind w:left="1080"/>
      </w:pPr>
    </w:p>
    <w:p w:rsidR="00190B16" w:rsidRDefault="00190B16"/>
    <w:sectPr w:rsidR="00190B16" w:rsidSect="00B8576B">
      <w:type w:val="continuous"/>
      <w:pgSz w:w="12240" w:h="15840" w:code="1"/>
      <w:pgMar w:top="720" w:right="720" w:bottom="720" w:left="720" w:header="720" w:footer="720" w:gutter="0"/>
      <w:cols w:space="720" w:equalWidth="0">
        <w:col w:w="10800"/>
      </w:cols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76B" w:rsidRDefault="00B8576B" w:rsidP="00B8576B">
      <w:r>
        <w:separator/>
      </w:r>
    </w:p>
  </w:endnote>
  <w:endnote w:type="continuationSeparator" w:id="0">
    <w:p w:rsidR="00B8576B" w:rsidRDefault="00B8576B" w:rsidP="00B8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76B" w:rsidRDefault="00B8576B" w:rsidP="00B8576B">
      <w:r>
        <w:separator/>
      </w:r>
    </w:p>
  </w:footnote>
  <w:footnote w:type="continuationSeparator" w:id="0">
    <w:p w:rsidR="00B8576B" w:rsidRDefault="00B8576B" w:rsidP="00B85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A5D71"/>
    <w:multiLevelType w:val="hybridMultilevel"/>
    <w:tmpl w:val="BCA0D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C053B"/>
    <w:multiLevelType w:val="hybridMultilevel"/>
    <w:tmpl w:val="1B668198"/>
    <w:lvl w:ilvl="0" w:tplc="71368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6B"/>
    <w:rsid w:val="00190B16"/>
    <w:rsid w:val="00B8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76B"/>
    <w:pPr>
      <w:spacing w:after="0" w:line="240" w:lineRule="auto"/>
    </w:pPr>
    <w:rPr>
      <w:rFonts w:ascii="Tahoma" w:eastAsia="Times New Roman" w:hAnsi="Tahom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57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8576B"/>
    <w:rPr>
      <w:rFonts w:ascii="Tahoma" w:eastAsia="Times New Roman" w:hAnsi="Tahoma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85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76B"/>
    <w:rPr>
      <w:rFonts w:ascii="Tahoma" w:eastAsia="Times New Roman" w:hAnsi="Tahoma"/>
      <w:sz w:val="22"/>
      <w:szCs w:val="22"/>
    </w:rPr>
  </w:style>
  <w:style w:type="paragraph" w:styleId="ListParagraph">
    <w:name w:val="List Paragraph"/>
    <w:basedOn w:val="Normal"/>
    <w:uiPriority w:val="34"/>
    <w:qFormat/>
    <w:rsid w:val="00B85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76B"/>
    <w:pPr>
      <w:spacing w:after="0" w:line="240" w:lineRule="auto"/>
    </w:pPr>
    <w:rPr>
      <w:rFonts w:ascii="Tahoma" w:eastAsia="Times New Roman" w:hAnsi="Tahom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57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8576B"/>
    <w:rPr>
      <w:rFonts w:ascii="Tahoma" w:eastAsia="Times New Roman" w:hAnsi="Tahoma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85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76B"/>
    <w:rPr>
      <w:rFonts w:ascii="Tahoma" w:eastAsia="Times New Roman" w:hAnsi="Tahoma"/>
      <w:sz w:val="22"/>
      <w:szCs w:val="22"/>
    </w:rPr>
  </w:style>
  <w:style w:type="paragraph" w:styleId="ListParagraph">
    <w:name w:val="List Paragraph"/>
    <w:basedOn w:val="Normal"/>
    <w:uiPriority w:val="34"/>
    <w:qFormat/>
    <w:rsid w:val="00B85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2015-01-27T21:03:00Z</dcterms:created>
  <dcterms:modified xsi:type="dcterms:W3CDTF">2015-01-27T21:06:00Z</dcterms:modified>
</cp:coreProperties>
</file>